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36D6" w14:textId="734A6F88" w:rsidR="00792397" w:rsidRDefault="00792397" w:rsidP="00577EBF">
      <w:pPr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noProof/>
          <w:color w:val="33485C"/>
          <w:kern w:val="0"/>
          <w:sz w:val="36"/>
          <w:szCs w:val="36"/>
          <w:lang w:eastAsia="it-IT"/>
        </w:rPr>
        <w:drawing>
          <wp:inline distT="0" distB="0" distL="0" distR="0" wp14:anchorId="09A5A8A0" wp14:editId="06ABEC19">
            <wp:extent cx="6120130" cy="1222375"/>
            <wp:effectExtent l="0" t="0" r="0" b="0"/>
            <wp:docPr id="7116326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32685" name="Immagine 7116326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7B07" w14:textId="77777777" w:rsidR="00792397" w:rsidRDefault="00792397" w:rsidP="00577EBF">
      <w:pPr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</w:pPr>
    </w:p>
    <w:p w14:paraId="2B5D0A2E" w14:textId="05E02B27" w:rsidR="00577EBF" w:rsidRDefault="00577EBF" w:rsidP="00577EBF">
      <w:pPr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 xml:space="preserve">Certificazione </w:t>
      </w:r>
      <w:proofErr w:type="gramStart"/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 xml:space="preserve">Aziendale  </w:t>
      </w:r>
      <w:proofErr w:type="spellStart"/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>Parita</w:t>
      </w:r>
      <w:proofErr w:type="gramEnd"/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>’</w:t>
      </w:r>
      <w:proofErr w:type="spellEnd"/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 xml:space="preserve"> di genere Uni </w:t>
      </w:r>
      <w:proofErr w:type="spellStart"/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>Pdr</w:t>
      </w:r>
      <w:proofErr w:type="spellEnd"/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 xml:space="preserve"> 125</w:t>
      </w:r>
    </w:p>
    <w:p w14:paraId="4DEF8C8A" w14:textId="3DFACD49" w:rsidR="00577EBF" w:rsidRPr="00577EBF" w:rsidRDefault="00577EBF" w:rsidP="00577EBF">
      <w:pPr>
        <w:spacing w:after="100" w:afterAutospacing="1" w:line="240" w:lineRule="auto"/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Climanet ha </w:t>
      </w:r>
      <w:proofErr w:type="gramStart"/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>ottenuto  La</w:t>
      </w:r>
      <w:proofErr w:type="gramEnd"/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certificazione </w:t>
      </w:r>
      <w:proofErr w:type="spellStart"/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>parita’</w:t>
      </w:r>
      <w:proofErr w:type="spellEnd"/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di genere Uni </w:t>
      </w:r>
      <w:proofErr w:type="spellStart"/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>Pdr</w:t>
      </w:r>
      <w:proofErr w:type="spellEnd"/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125. </w:t>
      </w:r>
      <w:r w:rsidRPr="00577EBF"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>La finalità del Sistema di certificazione alle imprese è</w:t>
      </w:r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proprio</w:t>
      </w:r>
      <w:r w:rsidRPr="00577EBF"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quella di favorire l’adozione di politiche</w:t>
      </w:r>
      <w:r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idonee</w:t>
      </w:r>
      <w:r w:rsidRPr="00577EBF">
        <w:rPr>
          <w:rFonts w:ascii="Titillium Web" w:eastAsia="Times New Roman" w:hAnsi="Titillium Web" w:cs="Times New Roman"/>
          <w:color w:val="33485C"/>
          <w:kern w:val="0"/>
          <w:sz w:val="24"/>
          <w:szCs w:val="24"/>
          <w:lang w:eastAsia="it-IT"/>
          <w14:ligatures w14:val="none"/>
        </w:rPr>
        <w:t xml:space="preserve"> per la parità di genere e per l’empowerment femminile a livello aziendale e quindi di migliorare la possibilità per le donne di accedere al mercato del lavoro, di leadership e di armonizzazione dei tempi vita.</w:t>
      </w:r>
    </w:p>
    <w:p w14:paraId="635AC94F" w14:textId="7A023500" w:rsidR="00577EBF" w:rsidRDefault="003A5572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Per </w:t>
      </w:r>
      <w:r w:rsidR="00577EBF" w:rsidRPr="00577EBF"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promuovere l’adozione </w:t>
      </w:r>
      <w:r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di tale </w:t>
      </w:r>
      <w:r w:rsidR="00577EBF" w:rsidRPr="00577EBF"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>certificazione da parte delle imprese, il Sistema prevede un principio di premialità che si realizza con l’introduzione di </w:t>
      </w:r>
      <w:r w:rsidR="00577EBF" w:rsidRPr="00577EBF">
        <w:rPr>
          <w:rFonts w:ascii="Titillium Web" w:eastAsia="Times New Roman" w:hAnsi="Titillium Web" w:cs="Times New Roman"/>
          <w:b/>
          <w:bCs/>
          <w:color w:val="19191A"/>
          <w:kern w:val="0"/>
          <w:sz w:val="24"/>
          <w:szCs w:val="24"/>
          <w:lang w:eastAsia="it-IT"/>
          <w14:ligatures w14:val="none"/>
        </w:rPr>
        <w:t>meccanismi di incentivazione</w:t>
      </w:r>
      <w:r w:rsidR="00577EBF" w:rsidRPr="00577EBF"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>.</w:t>
      </w:r>
      <w:r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>Qundi</w:t>
      </w:r>
      <w:proofErr w:type="spellEnd"/>
      <w:r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  <w:t xml:space="preserve"> le aziende devono avere determinati requisiti.</w:t>
      </w:r>
    </w:p>
    <w:p w14:paraId="5C799F93" w14:textId="77777777" w:rsidR="003A5572" w:rsidRPr="003A5572" w:rsidRDefault="003A5572" w:rsidP="003A5572">
      <w:pPr>
        <w:shd w:val="clear" w:color="auto" w:fill="FFFFFF"/>
        <w:spacing w:after="45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La certificazione della parità di genere è un documento di applicazione </w:t>
      </w:r>
      <w:r w:rsidRPr="003A5572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volontaria</w:t>
      </w: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che misura il rispetto delle pari opportunità in azienda in base a </w:t>
      </w:r>
      <w:r w:rsidRPr="003A5572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6 indicatori (KPI)</w:t>
      </w: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attinenti alle differenti variabili quali:</w:t>
      </w:r>
    </w:p>
    <w:p w14:paraId="40EBC044" w14:textId="77777777" w:rsidR="003A5572" w:rsidRPr="003A5572" w:rsidRDefault="003A5572" w:rsidP="003A5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Cultura e strategia;</w:t>
      </w:r>
    </w:p>
    <w:p w14:paraId="2F3BBFD4" w14:textId="77777777" w:rsidR="003A5572" w:rsidRPr="003A5572" w:rsidRDefault="003A5572" w:rsidP="003A5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Governance;</w:t>
      </w:r>
    </w:p>
    <w:p w14:paraId="223AFAAA" w14:textId="77777777" w:rsidR="003A5572" w:rsidRPr="003A5572" w:rsidRDefault="003A5572" w:rsidP="003A5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Processi HR;</w:t>
      </w:r>
    </w:p>
    <w:p w14:paraId="4BAF0CA5" w14:textId="77777777" w:rsidR="003A5572" w:rsidRPr="003A5572" w:rsidRDefault="003A5572" w:rsidP="003A5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Opportunità di crescita in azienda neutrali per genere;</w:t>
      </w:r>
    </w:p>
    <w:p w14:paraId="1584FB53" w14:textId="77777777" w:rsidR="003A5572" w:rsidRPr="003A5572" w:rsidRDefault="003A5572" w:rsidP="003A5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Equità remunerativa per genere;</w:t>
      </w:r>
    </w:p>
    <w:p w14:paraId="29AA496A" w14:textId="77777777" w:rsidR="003A5572" w:rsidRPr="003A5572" w:rsidRDefault="003A5572" w:rsidP="003A5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A557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Tutela della genitorialità e conciliazione vita-lavoro.</w:t>
      </w:r>
    </w:p>
    <w:p w14:paraId="5B2A1B8A" w14:textId="1A7CE4A8" w:rsidR="003A5572" w:rsidRDefault="00F8028B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Al </w:t>
      </w:r>
      <w:r>
        <w:rPr>
          <w:rStyle w:val="Enfasigrassetto"/>
          <w:rFonts w:ascii="Titillium Web" w:hAnsi="Titillium Web"/>
          <w:color w:val="1C2024"/>
          <w:sz w:val="27"/>
          <w:szCs w:val="27"/>
          <w:shd w:val="clear" w:color="auto" w:fill="FFFFFF"/>
        </w:rPr>
        <w:t>rilascio</w:t>
      </w: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 della certificazione della parità di genere alle imprese in conformità alla UNI/</w:t>
      </w:r>
      <w:proofErr w:type="spellStart"/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PdR</w:t>
      </w:r>
      <w:proofErr w:type="spellEnd"/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 xml:space="preserve"> 125/2022 provvedono gli </w:t>
      </w:r>
      <w:r>
        <w:rPr>
          <w:rStyle w:val="Enfasigrassetto"/>
          <w:rFonts w:ascii="Titillium Web" w:hAnsi="Titillium Web"/>
          <w:color w:val="1C2024"/>
          <w:sz w:val="27"/>
          <w:szCs w:val="27"/>
          <w:shd w:val="clear" w:color="auto" w:fill="FFFFFF"/>
        </w:rPr>
        <w:t>organismi di valutazione</w:t>
      </w: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 della conformità accreditati in questo ambito ai sensi del regolamento (CE) n. 765/2008</w:t>
      </w: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 xml:space="preserve"> tramite l’organismo </w:t>
      </w:r>
      <w:proofErr w:type="spellStart"/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Acrredia</w:t>
      </w:r>
      <w:proofErr w:type="spellEnd"/>
    </w:p>
    <w:p w14:paraId="238CCCC2" w14:textId="77777777" w:rsidR="00F8028B" w:rsidRDefault="00F8028B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40227884" w14:textId="65EED53B" w:rsidR="00F8028B" w:rsidRDefault="00631459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noProof/>
          <w:color w:val="1C2024"/>
          <w:sz w:val="27"/>
          <w:szCs w:val="27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16771F9D" wp14:editId="67D338D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038350" cy="2038350"/>
            <wp:effectExtent l="0" t="0" r="0" b="0"/>
            <wp:wrapNone/>
            <wp:docPr id="11443232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23286" name="Immagine 11443232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F814A" w14:textId="77777777" w:rsidR="00F8028B" w:rsidRDefault="00F8028B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128B8B65" w14:textId="77777777" w:rsidR="00631459" w:rsidRDefault="00631459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4CEFCB3F" w14:textId="77777777" w:rsidR="00631459" w:rsidRDefault="00631459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289F2805" w14:textId="77777777" w:rsidR="00631459" w:rsidRDefault="00631459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2C88328A" w14:textId="77777777" w:rsidR="00631459" w:rsidRDefault="00631459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2A3C1FE5" w14:textId="367DF306" w:rsidR="00792397" w:rsidRDefault="00792397" w:rsidP="00792397">
      <w:pPr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 xml:space="preserve">Certificazione </w:t>
      </w:r>
      <w:r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>Ambientale</w:t>
      </w:r>
      <w:r w:rsidR="00631459">
        <w:rPr>
          <w:rFonts w:ascii="Titillium Web" w:eastAsia="Times New Roman" w:hAnsi="Titillium Web" w:cs="Times New Roman"/>
          <w:b/>
          <w:bCs/>
          <w:color w:val="33485C"/>
          <w:kern w:val="0"/>
          <w:sz w:val="36"/>
          <w:szCs w:val="36"/>
          <w:lang w:eastAsia="it-IT"/>
          <w14:ligatures w14:val="none"/>
        </w:rPr>
        <w:t xml:space="preserve"> ISO 14001</w:t>
      </w:r>
    </w:p>
    <w:p w14:paraId="431A3BC0" w14:textId="6B676DE3" w:rsidR="00F8028B" w:rsidRPr="00792397" w:rsidRDefault="00792397" w:rsidP="00577EBF">
      <w:pPr>
        <w:shd w:val="clear" w:color="auto" w:fill="FFFFFF"/>
        <w:spacing w:before="100" w:beforeAutospacing="1" w:after="100" w:afterAutospacing="1" w:line="240" w:lineRule="auto"/>
        <w:rPr>
          <w:rStyle w:val="vkekvd"/>
          <w:rFonts w:ascii="Titillium Web" w:hAnsi="Titillium Web"/>
          <w:color w:val="000000" w:themeColor="text1"/>
          <w:shd w:val="clear" w:color="auto" w:fill="FFFFFF"/>
        </w:rPr>
      </w:pPr>
      <w:r w:rsidRPr="00792397">
        <w:rPr>
          <w:rFonts w:ascii="Titillium Web" w:hAnsi="Titillium Web"/>
          <w:color w:val="000000" w:themeColor="text1"/>
        </w:rPr>
        <w:t xml:space="preserve">Climanet ha ottenuto L’ attestato </w:t>
      </w:r>
      <w:r w:rsidRPr="00792397">
        <w:rPr>
          <w:rFonts w:ascii="Titillium Web" w:hAnsi="Titillium Web"/>
          <w:color w:val="000000" w:themeColor="text1"/>
        </w:rPr>
        <w:t xml:space="preserve">La certificazione </w:t>
      </w:r>
      <w:proofErr w:type="gramStart"/>
      <w:r w:rsidRPr="00792397">
        <w:rPr>
          <w:rFonts w:ascii="Titillium Web" w:hAnsi="Titillium Web"/>
          <w:color w:val="000000" w:themeColor="text1"/>
        </w:rPr>
        <w:t xml:space="preserve">ambientale </w:t>
      </w:r>
      <w:r w:rsidRPr="00792397">
        <w:rPr>
          <w:rFonts w:ascii="Titillium Web" w:hAnsi="Titillium Web"/>
          <w:color w:val="000000" w:themeColor="text1"/>
        </w:rPr>
        <w:t>.E</w:t>
      </w:r>
      <w:proofErr w:type="gramEnd"/>
      <w:r w:rsidRPr="00792397">
        <w:rPr>
          <w:rFonts w:ascii="Titillium Web" w:hAnsi="Titillium Web"/>
          <w:color w:val="000000" w:themeColor="text1"/>
        </w:rPr>
        <w:t>’ un certificato</w:t>
      </w:r>
      <w:r w:rsidRPr="00792397">
        <w:rPr>
          <w:rFonts w:ascii="Titillium Web" w:hAnsi="Titillium Web"/>
          <w:color w:val="000000" w:themeColor="text1"/>
        </w:rPr>
        <w:t xml:space="preserve"> rilasciato da un ente terzo che conferma il rispetto </w:t>
      </w:r>
      <w:r w:rsidRPr="00792397">
        <w:rPr>
          <w:rFonts w:ascii="Titillium Web" w:hAnsi="Titillium Web"/>
          <w:color w:val="000000" w:themeColor="text1"/>
        </w:rPr>
        <w:t>degli</w:t>
      </w:r>
      <w:r w:rsidRPr="00792397">
        <w:rPr>
          <w:rFonts w:ascii="Titillium Web" w:hAnsi="Titillium Web"/>
          <w:color w:val="000000" w:themeColor="text1"/>
        </w:rPr>
        <w:t xml:space="preserve"> standard ambientali da parte di un'azienda, un processo, un prodotto o un servizio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. Questo processo, guidato da normative internazionali come la ISO 14001 o EMAS, attesta l'impegno verso la sostenibilità, aiutando le aziende a comunicare il proprio impegno e a ottenere un vantaggio competitivo. Esistono certificazioni di processo, che riguardano l'intero sistema di gestione ambientale, e certificazioni di prodotto, che valutano l'impatto ambientale lungo l'intero ciclo di vita di un bene.</w:t>
      </w:r>
      <w:r w:rsidRPr="00792397">
        <w:rPr>
          <w:rStyle w:val="vkekvd"/>
          <w:rFonts w:ascii="Titillium Web" w:hAnsi="Titillium Web"/>
          <w:color w:val="000000" w:themeColor="text1"/>
          <w:shd w:val="clear" w:color="auto" w:fill="FFFFFF"/>
        </w:rPr>
        <w:t> </w:t>
      </w:r>
    </w:p>
    <w:p w14:paraId="2342079A" w14:textId="08E42AF6" w:rsidR="00792397" w:rsidRPr="00792397" w:rsidRDefault="00792397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hAnsi="Titillium Web"/>
          <w:color w:val="000000" w:themeColor="text1"/>
          <w:shd w:val="clear" w:color="auto" w:fill="FFFFFF"/>
        </w:rPr>
      </w:pPr>
      <w:r w:rsidRPr="00792397">
        <w:rPr>
          <w:rFonts w:ascii="Titillium Web" w:hAnsi="Titillium Web"/>
          <w:color w:val="000000" w:themeColor="text1"/>
          <w:shd w:val="clear" w:color="auto" w:fill="FFFFFF"/>
        </w:rPr>
        <w:t>L</w:t>
      </w:r>
      <w:r w:rsidR="00631459">
        <w:rPr>
          <w:rFonts w:ascii="Titillium Web" w:hAnsi="Titillium Web"/>
          <w:color w:val="000000" w:themeColor="text1"/>
          <w:shd w:val="clear" w:color="auto" w:fill="FFFFFF"/>
        </w:rPr>
        <w:t>a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</w:t>
      </w:r>
      <w:proofErr w:type="spellStart"/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certificazion</w:t>
      </w:r>
      <w:r w:rsidR="00631459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e</w:t>
      </w:r>
      <w:proofErr w:type="spellEnd"/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 xml:space="preserve"> ambiental</w:t>
      </w:r>
      <w:r w:rsidR="00631459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e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</w:t>
      </w:r>
      <w:proofErr w:type="spellStart"/>
      <w:proofErr w:type="gramStart"/>
      <w:r w:rsidR="00631459">
        <w:rPr>
          <w:rFonts w:ascii="Titillium Web" w:hAnsi="Titillium Web"/>
          <w:color w:val="000000" w:themeColor="text1"/>
          <w:shd w:val="clear" w:color="auto" w:fill="FFFFFF"/>
        </w:rPr>
        <w:t>e’</w:t>
      </w:r>
      <w:proofErr w:type="spellEnd"/>
      <w:proofErr w:type="gramEnd"/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 uno strumento indispensabile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 xml:space="preserve"> per migliorare i risultati in termini di </w:t>
      </w:r>
      <w:proofErr w:type="gramStart"/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sostenibilità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</w:t>
      </w:r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 della</w:t>
      </w:r>
      <w:proofErr w:type="gramEnd"/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 Nostra Azienda.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 xml:space="preserve"> </w:t>
      </w:r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E? </w:t>
      </w:r>
      <w:proofErr w:type="gramStart"/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una 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</w:t>
      </w:r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una</w:t>
      </w:r>
      <w:proofErr w:type="gramEnd"/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 xml:space="preserve"> sorta di bollino di qualità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che attesta che l'azienda opera in modo sostenibile e riduce al minimo l'impatto ambientale delle proprie attività.</w:t>
      </w:r>
    </w:p>
    <w:p w14:paraId="01B1563A" w14:textId="3FFB4D9B" w:rsidR="00792397" w:rsidRPr="00792397" w:rsidRDefault="00792397" w:rsidP="00577EBF">
      <w:pPr>
        <w:shd w:val="clear" w:color="auto" w:fill="FFFFFF"/>
        <w:spacing w:before="100" w:beforeAutospacing="1" w:after="100" w:afterAutospacing="1" w:line="240" w:lineRule="auto"/>
        <w:rPr>
          <w:rStyle w:val="vkekvd"/>
          <w:rFonts w:ascii="Titillium Web" w:hAnsi="Titillium Web"/>
          <w:color w:val="000000" w:themeColor="text1"/>
          <w:shd w:val="clear" w:color="auto" w:fill="FFFFFF"/>
        </w:rPr>
      </w:pPr>
      <w:r w:rsidRPr="00792397">
        <w:rPr>
          <w:rFonts w:ascii="Titillium Web" w:hAnsi="Titillium Web"/>
          <w:color w:val="000000" w:themeColor="text1"/>
          <w:shd w:val="clear" w:color="auto" w:fill="FFFFFF"/>
        </w:rPr>
        <w:t>La </w:t>
      </w:r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transizione ecologica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è da anni ormai un tema centrale del dibattito politico ed è uno degli obiettivi </w:t>
      </w:r>
      <w:hyperlink r:id="rId7" w:tgtFrame="_blank" w:history="1">
        <w:r w:rsidR="00631459">
          <w:rPr>
            <w:rStyle w:val="Collegamentoipertestuale"/>
            <w:rFonts w:ascii="Titillium Web" w:hAnsi="Titillium Web"/>
            <w:color w:val="000000" w:themeColor="text1"/>
            <w:shd w:val="clear" w:color="auto" w:fill="FFFFFF"/>
          </w:rPr>
          <w:t>della</w:t>
        </w:r>
      </w:hyperlink>
      <w:r w:rsidR="00631459">
        <w:rPr>
          <w:rFonts w:ascii="Titillium Web" w:hAnsi="Titillium Web"/>
          <w:color w:val="000000" w:themeColor="text1"/>
        </w:rPr>
        <w:t xml:space="preserve"> </w:t>
      </w:r>
      <w:proofErr w:type="spellStart"/>
      <w:r w:rsidR="00631459">
        <w:rPr>
          <w:rFonts w:ascii="Titillium Web" w:hAnsi="Titillium Web"/>
          <w:color w:val="000000" w:themeColor="text1"/>
        </w:rPr>
        <w:t>Comunita’</w:t>
      </w:r>
      <w:proofErr w:type="spellEnd"/>
      <w:r w:rsidR="00631459">
        <w:rPr>
          <w:rFonts w:ascii="Titillium Web" w:hAnsi="Titillium Web"/>
          <w:color w:val="000000" w:themeColor="text1"/>
        </w:rPr>
        <w:t xml:space="preserve"> Europe,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 che attraverso il </w:t>
      </w:r>
      <w:hyperlink r:id="rId8" w:tgtFrame="_blank" w:history="1">
        <w:r w:rsidRPr="00792397">
          <w:rPr>
            <w:rStyle w:val="Collegamentoipertestuale"/>
            <w:rFonts w:ascii="Titillium Web" w:hAnsi="Titillium Web"/>
            <w:color w:val="000000" w:themeColor="text1"/>
            <w:shd w:val="clear" w:color="auto" w:fill="FFFFFF"/>
          </w:rPr>
          <w:t>Next</w:t>
        </w:r>
        <w:r w:rsidR="00631459">
          <w:rPr>
            <w:rStyle w:val="Collegamentoipertestuale"/>
            <w:rFonts w:ascii="Titillium Web" w:hAnsi="Titillium Web"/>
            <w:color w:val="000000" w:themeColor="text1"/>
            <w:shd w:val="clear" w:color="auto" w:fill="FFFFFF"/>
          </w:rPr>
          <w:t xml:space="preserve"> </w:t>
        </w:r>
        <w:r w:rsidRPr="00792397">
          <w:rPr>
            <w:rStyle w:val="Collegamentoipertestuale"/>
            <w:rFonts w:ascii="Titillium Web" w:hAnsi="Titillium Web"/>
            <w:color w:val="000000" w:themeColor="text1"/>
            <w:shd w:val="clear" w:color="auto" w:fill="FFFFFF"/>
          </w:rPr>
          <w:t>generation Ue</w:t>
        </w:r>
      </w:hyperlink>
      <w:r w:rsidRPr="00792397">
        <w:rPr>
          <w:rFonts w:ascii="Titillium Web" w:hAnsi="Titillium Web"/>
          <w:color w:val="000000" w:themeColor="text1"/>
          <w:shd w:val="clear" w:color="auto" w:fill="FFFFFF"/>
        </w:rPr>
        <w:t> </w:t>
      </w:r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 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punta alla trasformazione dello spazio europeo in un’economia sostenibile, per raggiungere l’obiettivo della neutralità nelle emissioni di CO2 </w:t>
      </w:r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entro il 2050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>. In questo contesto le certificazioni ambientali consentono alle aziende di muoversi in modo funzionale ed efficiente verso la sostenibilità. In tal modo possono migliorare le proprie prestazioni ambientali, aumentare la propria </w:t>
      </w:r>
      <w:r w:rsidRPr="00792397">
        <w:rPr>
          <w:rStyle w:val="Enfasigrassetto"/>
          <w:rFonts w:ascii="Titillium Web" w:hAnsi="Titillium Web"/>
          <w:color w:val="000000" w:themeColor="text1"/>
          <w:shd w:val="clear" w:color="auto" w:fill="FFFFFF"/>
        </w:rPr>
        <w:t>competitività sul mercato</w:t>
      </w:r>
      <w:r w:rsidRPr="00792397">
        <w:rPr>
          <w:rFonts w:ascii="Titillium Web" w:hAnsi="Titillium Web"/>
          <w:color w:val="000000" w:themeColor="text1"/>
          <w:shd w:val="clear" w:color="auto" w:fill="FFFFFF"/>
        </w:rPr>
        <w:t xml:space="preserve"> e costruire un futuro più sostenibile in un momento in cui sta crescendo tra i consumatori italiani una maggiore attenzione verso prodotti più </w:t>
      </w:r>
      <w:proofErr w:type="gramStart"/>
      <w:r w:rsidRPr="00792397">
        <w:rPr>
          <w:rFonts w:ascii="Titillium Web" w:hAnsi="Titillium Web"/>
          <w:color w:val="000000" w:themeColor="text1"/>
          <w:shd w:val="clear" w:color="auto" w:fill="FFFFFF"/>
        </w:rPr>
        <w:t xml:space="preserve">sostenibili </w:t>
      </w:r>
      <w:r w:rsidR="00631459">
        <w:rPr>
          <w:rFonts w:ascii="Titillium Web" w:hAnsi="Titillium Web"/>
          <w:color w:val="000000" w:themeColor="text1"/>
          <w:shd w:val="clear" w:color="auto" w:fill="FFFFFF"/>
        </w:rPr>
        <w:t>.</w:t>
      </w:r>
      <w:proofErr w:type="gramEnd"/>
      <w:r w:rsidR="00631459">
        <w:rPr>
          <w:rFonts w:ascii="Titillium Web" w:hAnsi="Titillium Web"/>
          <w:color w:val="000000" w:themeColor="text1"/>
          <w:shd w:val="clear" w:color="auto" w:fill="FFFFFF"/>
        </w:rPr>
        <w:t xml:space="preserve"> </w:t>
      </w:r>
    </w:p>
    <w:p w14:paraId="762A95C4" w14:textId="77777777" w:rsidR="00792397" w:rsidRPr="00792397" w:rsidRDefault="00792397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</w:p>
    <w:p w14:paraId="4168091C" w14:textId="77777777" w:rsidR="003A5572" w:rsidRPr="00792397" w:rsidRDefault="003A5572" w:rsidP="00577EBF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kern w:val="0"/>
          <w:sz w:val="24"/>
          <w:szCs w:val="24"/>
          <w:lang w:eastAsia="it-IT"/>
          <w14:ligatures w14:val="none"/>
        </w:rPr>
      </w:pPr>
    </w:p>
    <w:sectPr w:rsidR="003A5572" w:rsidRPr="00792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F30"/>
    <w:multiLevelType w:val="multilevel"/>
    <w:tmpl w:val="97A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138DC"/>
    <w:multiLevelType w:val="multilevel"/>
    <w:tmpl w:val="2E02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725575">
    <w:abstractNumId w:val="0"/>
  </w:num>
  <w:num w:numId="2" w16cid:durableId="145066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BF"/>
    <w:rsid w:val="003A5572"/>
    <w:rsid w:val="0050657D"/>
    <w:rsid w:val="00577EBF"/>
    <w:rsid w:val="00631459"/>
    <w:rsid w:val="007766C8"/>
    <w:rsid w:val="00792397"/>
    <w:rsid w:val="00A570CD"/>
    <w:rsid w:val="00B50242"/>
    <w:rsid w:val="00D1634C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D748"/>
  <w15:chartTrackingRefBased/>
  <w15:docId w15:val="{51CA243F-154C-43B5-A481-C9E1F405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E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E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E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E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E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EB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EB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E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E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E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E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E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E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E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EB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E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EB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EBF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8028B"/>
    <w:rPr>
      <w:b/>
      <w:bCs/>
    </w:rPr>
  </w:style>
  <w:style w:type="character" w:customStyle="1" w:styleId="vkekvd">
    <w:name w:val="vkekvd"/>
    <w:basedOn w:val="Carpredefinitoparagrafo"/>
    <w:rsid w:val="00792397"/>
  </w:style>
  <w:style w:type="character" w:styleId="Collegamentoipertestuale">
    <w:name w:val="Hyperlink"/>
    <w:basedOn w:val="Carpredefinitoparagrafo"/>
    <w:uiPriority w:val="99"/>
    <w:semiHidden/>
    <w:unhideWhenUsed/>
    <w:rsid w:val="00792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eneration-eu.europa.eu/index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ilium.europa.eu/it/policies/strategic-agenda-2024-20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santini</dc:creator>
  <cp:keywords/>
  <dc:description/>
  <cp:lastModifiedBy>stefano santini</cp:lastModifiedBy>
  <cp:revision>1</cp:revision>
  <dcterms:created xsi:type="dcterms:W3CDTF">2025-11-07T12:37:00Z</dcterms:created>
  <dcterms:modified xsi:type="dcterms:W3CDTF">2025-11-07T13:35:00Z</dcterms:modified>
</cp:coreProperties>
</file>